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C481A" w:rsidRDefault="006C481A" w:rsidP="006C481A">
      <w:pPr>
        <w:pStyle w:val="ListParagraph"/>
        <w:numPr>
          <w:ilvl w:val="0"/>
          <w:numId w:val="1"/>
        </w:numPr>
      </w:pPr>
      <w:r>
        <w:t>If the route needs to be evacuated in an emergency, drivers should pull their floats to one side of the road to leave a clear space if possible.  Turn off their engine and sound system, leave the key in the ignition and make their way to safety.</w:t>
      </w:r>
    </w:p>
    <w:p w:rsidR="006C481A" w:rsidRDefault="006C481A" w:rsidP="006C481A"/>
    <w:p w:rsidR="006C481A" w:rsidRDefault="006C481A" w:rsidP="006C481A"/>
    <w:p w:rsidR="002B7BA8" w:rsidRDefault="002B7BA8" w:rsidP="006C481A"/>
    <w:p w:rsidR="002B7BA8" w:rsidRDefault="002B7BA8" w:rsidP="006C481A"/>
    <w:p w:rsidR="006C481A" w:rsidRPr="009413C3" w:rsidRDefault="006C481A" w:rsidP="006C481A">
      <w:pPr>
        <w:jc w:val="center"/>
        <w:rPr>
          <w:b/>
          <w:color w:val="FF0000"/>
        </w:rPr>
      </w:pPr>
      <w:r w:rsidRPr="009413C3">
        <w:rPr>
          <w:b/>
          <w:color w:val="FF0000"/>
        </w:rPr>
        <w:t>We hope you have a safe and fun carnival and look forward to seeing you again.</w:t>
      </w:r>
    </w:p>
    <w:p w:rsidR="006C481A" w:rsidRPr="009413C3" w:rsidRDefault="006C481A" w:rsidP="006C481A">
      <w:pPr>
        <w:jc w:val="center"/>
        <w:rPr>
          <w:b/>
          <w:color w:val="FF0000"/>
        </w:rPr>
      </w:pPr>
    </w:p>
    <w:p w:rsidR="006C481A" w:rsidRPr="009413C3" w:rsidRDefault="006C481A" w:rsidP="006C481A">
      <w:pPr>
        <w:jc w:val="center"/>
        <w:rPr>
          <w:b/>
          <w:color w:val="FF0000"/>
        </w:rPr>
      </w:pPr>
      <w:r w:rsidRPr="009413C3">
        <w:rPr>
          <w:b/>
          <w:color w:val="FF0000"/>
        </w:rPr>
        <w:t>Moretonhampstead Carnival Committee</w:t>
      </w:r>
    </w:p>
    <w:p w:rsidR="00876805" w:rsidRDefault="00876805"/>
    <w:p w:rsidR="006C481A" w:rsidRDefault="006C481A"/>
    <w:p w:rsidR="006C481A" w:rsidRDefault="006C481A"/>
    <w:p w:rsidR="00FA21D1" w:rsidRDefault="00FA21D1" w:rsidP="006C481A">
      <w:pPr>
        <w:rPr>
          <w:b/>
        </w:rPr>
      </w:pPr>
    </w:p>
    <w:p w:rsidR="00FA21D1" w:rsidRDefault="00FA21D1" w:rsidP="006C481A">
      <w:pPr>
        <w:rPr>
          <w:b/>
        </w:rPr>
      </w:pPr>
    </w:p>
    <w:p w:rsidR="006C481A" w:rsidRDefault="006C481A" w:rsidP="006C481A">
      <w:r w:rsidRPr="009413C3">
        <w:rPr>
          <w:b/>
        </w:rPr>
        <w:lastRenderedPageBreak/>
        <w:t>Communication</w:t>
      </w:r>
      <w:r>
        <w:t xml:space="preserve"> – updates on any safety information before the Carnival events, including decisions whether or not the event is to be cancelled will be made via our Facebook page and the Moreton Community Hub page.  </w:t>
      </w:r>
      <w:r w:rsidR="00FA21D1">
        <w:t>We may also use a local radio station to inform the public.</w:t>
      </w:r>
    </w:p>
    <w:p w:rsidR="006C481A" w:rsidRDefault="006C481A" w:rsidP="006C481A">
      <w:r w:rsidRPr="009413C3">
        <w:rPr>
          <w:b/>
        </w:rPr>
        <w:t>General Information</w:t>
      </w:r>
      <w:r>
        <w:t>:</w:t>
      </w:r>
    </w:p>
    <w:p w:rsidR="006C481A" w:rsidRDefault="006C481A" w:rsidP="006C481A">
      <w:pPr>
        <w:pStyle w:val="ListParagraph"/>
        <w:numPr>
          <w:ilvl w:val="0"/>
          <w:numId w:val="2"/>
        </w:numPr>
      </w:pPr>
      <w:r>
        <w:t>Please nominate an adult member of your group to be responsible for all aspects of safety who is also able to act as a single point of contact between your group and the carnival organisers both before and during the event.</w:t>
      </w:r>
    </w:p>
    <w:p w:rsidR="006C481A" w:rsidRDefault="006C481A" w:rsidP="006C481A">
      <w:pPr>
        <w:pStyle w:val="ListParagraph"/>
        <w:numPr>
          <w:ilvl w:val="0"/>
          <w:numId w:val="2"/>
        </w:numPr>
      </w:pPr>
      <w:r>
        <w:t>It is advisable to carry a small first aid kit together with drinking water to avoid dehydration.</w:t>
      </w:r>
    </w:p>
    <w:p w:rsidR="006C481A" w:rsidRDefault="006C481A" w:rsidP="006C481A">
      <w:pPr>
        <w:pStyle w:val="ListParagraph"/>
        <w:numPr>
          <w:ilvl w:val="0"/>
          <w:numId w:val="2"/>
        </w:numPr>
      </w:pPr>
      <w:r>
        <w:t>Children should have an adequate number of adult supervisors</w:t>
      </w:r>
    </w:p>
    <w:p w:rsidR="006C481A" w:rsidRDefault="006C481A" w:rsidP="006C481A">
      <w:pPr>
        <w:pStyle w:val="ListParagraph"/>
        <w:numPr>
          <w:ilvl w:val="0"/>
          <w:numId w:val="2"/>
        </w:numPr>
      </w:pPr>
      <w:r>
        <w:t>Spectators are discouraged from throwing coins onto floats and in return we ask participants not to spray water or throw objects into the crowd</w:t>
      </w:r>
    </w:p>
    <w:p w:rsidR="00FA21D1" w:rsidRDefault="00FA21D1" w:rsidP="006C481A">
      <w:pPr>
        <w:pStyle w:val="ListParagraph"/>
        <w:numPr>
          <w:ilvl w:val="0"/>
          <w:numId w:val="2"/>
        </w:numPr>
      </w:pPr>
      <w:r>
        <w:t>The consumption of alcohol or drugs whilst in the procession is strictly prohibited</w:t>
      </w:r>
    </w:p>
    <w:p w:rsidR="002B7BA8" w:rsidRDefault="006C481A" w:rsidP="003E380D">
      <w:pPr>
        <w:pStyle w:val="ListParagraph"/>
        <w:numPr>
          <w:ilvl w:val="0"/>
          <w:numId w:val="2"/>
        </w:numPr>
      </w:pPr>
      <w:r>
        <w:t>We discourage participants from smoking or vaping whilst in the procession.</w:t>
      </w:r>
    </w:p>
    <w:p w:rsidR="006C481A" w:rsidRDefault="006C481A" w:rsidP="006C481A">
      <w:pPr>
        <w:pStyle w:val="ListParagraph"/>
        <w:numPr>
          <w:ilvl w:val="0"/>
          <w:numId w:val="2"/>
        </w:numPr>
      </w:pPr>
      <w:r>
        <w:lastRenderedPageBreak/>
        <w:t>Please ensure any electrical items are waterproof, suitable for outside use and fitted safely.  Mains voltage equipment should be properly inspected before use.</w:t>
      </w:r>
    </w:p>
    <w:p w:rsidR="006C481A" w:rsidRDefault="006C481A" w:rsidP="006C481A">
      <w:pPr>
        <w:pStyle w:val="ListParagraph"/>
        <w:numPr>
          <w:ilvl w:val="0"/>
          <w:numId w:val="2"/>
        </w:numPr>
      </w:pPr>
      <w:r>
        <w:t>Unfortunately we cannot guarantee good weather so please come prepared for the forecast conditions.</w:t>
      </w:r>
    </w:p>
    <w:p w:rsidR="006C481A" w:rsidRDefault="006C481A" w:rsidP="006C481A">
      <w:pPr>
        <w:pStyle w:val="ListParagraph"/>
        <w:numPr>
          <w:ilvl w:val="0"/>
          <w:numId w:val="2"/>
        </w:numPr>
      </w:pPr>
      <w:r>
        <w:t>There may a lot of loud noise around floats and you should consider providing yourself and the members of your group with ear defenders.</w:t>
      </w:r>
    </w:p>
    <w:p w:rsidR="006C481A" w:rsidRDefault="006C481A" w:rsidP="006C481A">
      <w:pPr>
        <w:pStyle w:val="ListParagraph"/>
        <w:numPr>
          <w:ilvl w:val="0"/>
          <w:numId w:val="2"/>
        </w:numPr>
      </w:pPr>
      <w:r>
        <w:t>There are marshals along the procession route who are there to provide assistance in the event of any difficulty.</w:t>
      </w:r>
    </w:p>
    <w:p w:rsidR="006C481A" w:rsidRDefault="006C481A" w:rsidP="006C481A">
      <w:pPr>
        <w:pStyle w:val="ListParagraph"/>
        <w:numPr>
          <w:ilvl w:val="0"/>
          <w:numId w:val="2"/>
        </w:numPr>
      </w:pPr>
      <w:r>
        <w:t>If you see a suspicious package, do not touch it, immediately report it to a marshal, dial 999 from a safe distance and advise others to move away.</w:t>
      </w:r>
    </w:p>
    <w:p w:rsidR="006C481A" w:rsidRPr="009413C3" w:rsidRDefault="006C481A" w:rsidP="006C481A">
      <w:pPr>
        <w:rPr>
          <w:b/>
        </w:rPr>
      </w:pPr>
      <w:r w:rsidRPr="009413C3">
        <w:rPr>
          <w:b/>
        </w:rPr>
        <w:t>Pedestrian Entrants</w:t>
      </w:r>
    </w:p>
    <w:p w:rsidR="002B7BA8" w:rsidRDefault="006C481A" w:rsidP="006C481A">
      <w:pPr>
        <w:pStyle w:val="ListParagraph"/>
        <w:numPr>
          <w:ilvl w:val="0"/>
          <w:numId w:val="3"/>
        </w:numPr>
      </w:pPr>
      <w:r>
        <w:t>Costumes are flammable, stay away from direct sources of heat</w:t>
      </w:r>
      <w:r w:rsidRPr="002349B7">
        <w:t xml:space="preserve"> </w:t>
      </w:r>
    </w:p>
    <w:p w:rsidR="006C481A" w:rsidRDefault="006C481A" w:rsidP="006C481A">
      <w:pPr>
        <w:pStyle w:val="ListParagraph"/>
        <w:numPr>
          <w:ilvl w:val="0"/>
          <w:numId w:val="3"/>
        </w:numPr>
      </w:pPr>
      <w:r>
        <w:t xml:space="preserve">If you have children in a walking group. Please keep them together and away from moving vehicles.  </w:t>
      </w:r>
    </w:p>
    <w:p w:rsidR="006C481A" w:rsidRPr="002349B7" w:rsidRDefault="006C481A" w:rsidP="006C481A">
      <w:pPr>
        <w:rPr>
          <w:b/>
        </w:rPr>
      </w:pPr>
      <w:r w:rsidRPr="009413C3">
        <w:rPr>
          <w:b/>
        </w:rPr>
        <w:t>Float Specific Entries</w:t>
      </w:r>
    </w:p>
    <w:p w:rsidR="006C481A" w:rsidRDefault="006C481A" w:rsidP="002B7BA8">
      <w:pPr>
        <w:pStyle w:val="ListParagraph"/>
        <w:numPr>
          <w:ilvl w:val="0"/>
          <w:numId w:val="4"/>
        </w:numPr>
      </w:pPr>
      <w:r>
        <w:t xml:space="preserve">All vehicles should carry a suitable fire extinguisher and </w:t>
      </w:r>
      <w:r w:rsidR="002B7BA8" w:rsidRPr="002B7BA8">
        <w:t xml:space="preserve"> </w:t>
      </w:r>
      <w:r>
        <w:t>a first aid kit.</w:t>
      </w:r>
    </w:p>
    <w:p w:rsidR="006C481A" w:rsidRDefault="006C481A" w:rsidP="006C481A">
      <w:pPr>
        <w:pStyle w:val="ListParagraph"/>
        <w:numPr>
          <w:ilvl w:val="0"/>
          <w:numId w:val="1"/>
        </w:numPr>
      </w:pPr>
      <w:r>
        <w:lastRenderedPageBreak/>
        <w:t>The towing vehicle and trailer must be in a legal and roadworthy condition.  The driver is responsible for ensuring this.</w:t>
      </w:r>
    </w:p>
    <w:p w:rsidR="006C481A" w:rsidRDefault="006C481A" w:rsidP="006C481A">
      <w:pPr>
        <w:pStyle w:val="ListParagraph"/>
        <w:numPr>
          <w:ilvl w:val="0"/>
          <w:numId w:val="1"/>
        </w:numPr>
      </w:pPr>
      <w:r>
        <w:t>The driver of the towing vehicle is responsible for the general safety of the vehicle, towing mechanism, general sturdiness of the float and that adequate insurance cover is in force</w:t>
      </w:r>
    </w:p>
    <w:p w:rsidR="006C481A" w:rsidRDefault="006C481A" w:rsidP="006C481A">
      <w:pPr>
        <w:pStyle w:val="ListParagraph"/>
        <w:numPr>
          <w:ilvl w:val="0"/>
          <w:numId w:val="1"/>
        </w:numPr>
      </w:pPr>
      <w:r>
        <w:t>Anything that could fall off the float must be secured.</w:t>
      </w:r>
    </w:p>
    <w:p w:rsidR="006C481A" w:rsidRDefault="006C481A" w:rsidP="006C481A">
      <w:pPr>
        <w:pStyle w:val="ListParagraph"/>
        <w:numPr>
          <w:ilvl w:val="0"/>
          <w:numId w:val="1"/>
        </w:numPr>
      </w:pPr>
      <w:r>
        <w:t>People on the float should be seated securely with adequate handrails or tethers to prevent them falling off.  Keep the number of people on the float to a reasonable level to ensure everyone’s safety.</w:t>
      </w:r>
    </w:p>
    <w:p w:rsidR="006C481A" w:rsidRDefault="006C481A" w:rsidP="006C481A">
      <w:pPr>
        <w:pStyle w:val="ListParagraph"/>
        <w:numPr>
          <w:ilvl w:val="0"/>
          <w:numId w:val="1"/>
        </w:numPr>
      </w:pPr>
      <w:r>
        <w:t>The driver should keep up with the procession and not allow significant gaps to form.  A safety separation distance of no less than 5 metres must be kept between entries.  Be aware of spectators at all times.</w:t>
      </w:r>
    </w:p>
    <w:p w:rsidR="006C481A" w:rsidRDefault="006C481A" w:rsidP="006C481A">
      <w:pPr>
        <w:pStyle w:val="ListParagraph"/>
        <w:numPr>
          <w:ilvl w:val="0"/>
          <w:numId w:val="1"/>
        </w:numPr>
      </w:pPr>
      <w:r>
        <w:t>Nobody should hang over the edge of a vehicle or go in between the towing vehicle and float when it is in motion.  Only climb on or off the float when it has stopped moving.</w:t>
      </w:r>
    </w:p>
    <w:p w:rsidR="006C481A" w:rsidRDefault="006C481A" w:rsidP="006C481A">
      <w:pPr>
        <w:pStyle w:val="ListParagraph"/>
        <w:numPr>
          <w:ilvl w:val="0"/>
          <w:numId w:val="1"/>
        </w:numPr>
      </w:pPr>
      <w:r>
        <w:t>Please keep the vehicle centrally away from either side of spectators in case someone falls or is pushed into the road.</w:t>
      </w:r>
    </w:p>
    <w:sectPr w:rsidR="006C481A" w:rsidSect="006C481A">
      <w:headerReference w:type="default" r:id="rId7"/>
      <w:footerReference w:type="default" r:id="rId8"/>
      <w:pgSz w:w="16838" w:h="11906" w:orient="landscape"/>
      <w:pgMar w:top="1440" w:right="1440" w:bottom="1440" w:left="1440" w:header="708" w:footer="708" w:gutter="0"/>
      <w:cols w:num="2"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38B0" w:rsidRDefault="007138B0" w:rsidP="006C481A">
      <w:pPr>
        <w:spacing w:after="0" w:line="240" w:lineRule="auto"/>
      </w:pPr>
      <w:r>
        <w:separator/>
      </w:r>
    </w:p>
  </w:endnote>
  <w:endnote w:type="continuationSeparator" w:id="0">
    <w:p w:rsidR="007138B0" w:rsidRDefault="007138B0" w:rsidP="006C481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Broadway">
    <w:panose1 w:val="04040905080B02020502"/>
    <w:charset w:val="00"/>
    <w:family w:val="decorative"/>
    <w:pitch w:val="variable"/>
    <w:sig w:usb0="00000003" w:usb1="00000000" w:usb2="00000000" w:usb3="00000000" w:csb0="00000001"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C481A" w:rsidRDefault="006C481A">
    <w:pPr>
      <w:pStyle w:val="Footer"/>
    </w:pPr>
    <w:r>
      <w:t>Version 1 – May 2024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38B0" w:rsidRDefault="007138B0" w:rsidP="006C481A">
      <w:pPr>
        <w:spacing w:after="0" w:line="240" w:lineRule="auto"/>
      </w:pPr>
      <w:r>
        <w:separator/>
      </w:r>
    </w:p>
  </w:footnote>
  <w:footnote w:type="continuationSeparator" w:id="0">
    <w:p w:rsidR="007138B0" w:rsidRDefault="007138B0" w:rsidP="006C481A">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TableGrid"/>
      <w:tblW w:w="0" w:type="auto"/>
      <w:tblLook w:val="04A0"/>
    </w:tblPr>
    <w:tblGrid>
      <w:gridCol w:w="7087"/>
      <w:gridCol w:w="7087"/>
    </w:tblGrid>
    <w:tr w:rsidR="003E380D" w:rsidTr="003E380D">
      <w:tc>
        <w:tcPr>
          <w:tcW w:w="7087" w:type="dxa"/>
        </w:tcPr>
        <w:p w:rsidR="003E380D" w:rsidRDefault="003E380D" w:rsidP="003E380D">
          <w:pPr>
            <w:pStyle w:val="Header"/>
            <w:rPr>
              <w:rFonts w:ascii="Broadway" w:hAnsi="Broadway"/>
              <w:color w:val="FF0000"/>
              <w:sz w:val="28"/>
              <w:szCs w:val="28"/>
            </w:rPr>
          </w:pPr>
          <w:r>
            <w:rPr>
              <w:rFonts w:ascii="Broadway" w:hAnsi="Broadway"/>
              <w:noProof/>
              <w:color w:val="FF0000"/>
              <w:sz w:val="28"/>
              <w:szCs w:val="28"/>
              <w:lang w:eastAsia="en-GB"/>
            </w:rPr>
            <w:drawing>
              <wp:anchor distT="0" distB="0" distL="114300" distR="114300" simplePos="0" relativeHeight="251658240" behindDoc="1" locked="0" layoutInCell="1" allowOverlap="1">
                <wp:simplePos x="0" y="0"/>
                <wp:positionH relativeFrom="column">
                  <wp:posOffset>-756285</wp:posOffset>
                </wp:positionH>
                <wp:positionV relativeFrom="paragraph">
                  <wp:posOffset>-8255</wp:posOffset>
                </wp:positionV>
                <wp:extent cx="737870" cy="819150"/>
                <wp:effectExtent l="19050" t="0" r="5080" b="0"/>
                <wp:wrapTight wrapText="bothSides">
                  <wp:wrapPolygon edited="0">
                    <wp:start x="5019" y="0"/>
                    <wp:lineTo x="2788" y="2009"/>
                    <wp:lineTo x="558" y="6530"/>
                    <wp:lineTo x="558" y="11051"/>
                    <wp:lineTo x="3346" y="16074"/>
                    <wp:lineTo x="-558" y="19591"/>
                    <wp:lineTo x="-558" y="21098"/>
                    <wp:lineTo x="21749" y="21098"/>
                    <wp:lineTo x="21749" y="19088"/>
                    <wp:lineTo x="18403" y="16074"/>
                    <wp:lineTo x="16172" y="16074"/>
                    <wp:lineTo x="18960" y="8540"/>
                    <wp:lineTo x="19518" y="7033"/>
                    <wp:lineTo x="15057" y="1005"/>
                    <wp:lineTo x="12826" y="0"/>
                    <wp:lineTo x="5019" y="0"/>
                  </wp:wrapPolygon>
                </wp:wrapTight>
                <wp:docPr id="1" name="Picture 1" descr="C:\Users\gillm\AppData\Local\Microsoft\Windows\INetCache\IE\SKT4ZZDZ\boy-2028005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lm\AppData\Local\Microsoft\Windows\INetCache\IE\SKT4ZZDZ\boy-2028005_960_720[1].png"/>
                        <pic:cNvPicPr>
                          <a:picLocks noChangeAspect="1" noChangeArrowheads="1"/>
                        </pic:cNvPicPr>
                      </pic:nvPicPr>
                      <pic:blipFill>
                        <a:blip r:embed="rId1"/>
                        <a:srcRect/>
                        <a:stretch>
                          <a:fillRect/>
                        </a:stretch>
                      </pic:blipFill>
                      <pic:spPr bwMode="auto">
                        <a:xfrm>
                          <a:off x="0" y="0"/>
                          <a:ext cx="737870" cy="819150"/>
                        </a:xfrm>
                        <a:prstGeom prst="rect">
                          <a:avLst/>
                        </a:prstGeom>
                        <a:noFill/>
                        <a:ln w="9525">
                          <a:noFill/>
                          <a:miter lim="800000"/>
                          <a:headEnd/>
                          <a:tailEnd/>
                        </a:ln>
                      </pic:spPr>
                    </pic:pic>
                  </a:graphicData>
                </a:graphic>
              </wp:anchor>
            </w:drawing>
          </w:r>
          <w:r>
            <w:rPr>
              <w:rFonts w:ascii="Broadway" w:hAnsi="Broadway"/>
              <w:color w:val="FF0000"/>
              <w:sz w:val="28"/>
              <w:szCs w:val="28"/>
            </w:rPr>
            <w:t xml:space="preserve">    </w:t>
          </w:r>
          <w:r w:rsidRPr="00591685">
            <w:rPr>
              <w:rFonts w:ascii="Broadway" w:hAnsi="Broadway"/>
              <w:color w:val="FF0000"/>
              <w:sz w:val="28"/>
              <w:szCs w:val="28"/>
            </w:rPr>
            <w:t>Moretonhampstead Carnival</w:t>
          </w:r>
          <w:r>
            <w:rPr>
              <w:rFonts w:ascii="Broadway" w:hAnsi="Broadway"/>
              <w:color w:val="FF0000"/>
              <w:sz w:val="28"/>
              <w:szCs w:val="28"/>
            </w:rPr>
            <w:t xml:space="preserve"> </w:t>
          </w:r>
        </w:p>
        <w:p w:rsidR="003E380D" w:rsidRDefault="003E380D" w:rsidP="006C481A">
          <w:pPr>
            <w:pStyle w:val="Header"/>
            <w:rPr>
              <w:rFonts w:ascii="Broadway" w:hAnsi="Broadway"/>
              <w:color w:val="FF0000"/>
              <w:sz w:val="28"/>
              <w:szCs w:val="28"/>
            </w:rPr>
          </w:pPr>
        </w:p>
        <w:p w:rsidR="003E380D" w:rsidRDefault="003E380D" w:rsidP="006C481A">
          <w:pPr>
            <w:pStyle w:val="Header"/>
            <w:rPr>
              <w:rFonts w:ascii="Broadway" w:hAnsi="Broadway"/>
              <w:color w:val="FF0000"/>
              <w:sz w:val="28"/>
              <w:szCs w:val="28"/>
            </w:rPr>
          </w:pPr>
          <w:r>
            <w:rPr>
              <w:rFonts w:ascii="Broadway" w:hAnsi="Broadway"/>
              <w:color w:val="FF0000"/>
              <w:sz w:val="28"/>
              <w:szCs w:val="28"/>
            </w:rPr>
            <w:t xml:space="preserve">    Safety Guidelines for Entrants</w:t>
          </w:r>
        </w:p>
      </w:tc>
      <w:tc>
        <w:tcPr>
          <w:tcW w:w="7087" w:type="dxa"/>
        </w:tcPr>
        <w:p w:rsidR="003E380D" w:rsidRDefault="003E380D" w:rsidP="003E380D">
          <w:pPr>
            <w:pStyle w:val="Header"/>
            <w:rPr>
              <w:rFonts w:ascii="Broadway" w:hAnsi="Broadway"/>
              <w:color w:val="FF0000"/>
              <w:sz w:val="28"/>
              <w:szCs w:val="28"/>
            </w:rPr>
          </w:pPr>
          <w:r>
            <w:rPr>
              <w:rFonts w:ascii="Broadway" w:hAnsi="Broadway"/>
              <w:color w:val="FF0000"/>
              <w:sz w:val="28"/>
              <w:szCs w:val="28"/>
            </w:rPr>
            <w:t xml:space="preserve">   </w:t>
          </w:r>
          <w:r w:rsidRPr="00591685">
            <w:rPr>
              <w:rFonts w:ascii="Broadway" w:hAnsi="Broadway"/>
              <w:color w:val="FF0000"/>
              <w:sz w:val="28"/>
              <w:szCs w:val="28"/>
            </w:rPr>
            <w:t>Moretonhampstead Carnival</w:t>
          </w:r>
          <w:r>
            <w:rPr>
              <w:rFonts w:ascii="Broadway" w:hAnsi="Broadway"/>
              <w:color w:val="FF0000"/>
              <w:sz w:val="28"/>
              <w:szCs w:val="28"/>
            </w:rPr>
            <w:t xml:space="preserve"> </w:t>
          </w:r>
        </w:p>
        <w:p w:rsidR="003E380D" w:rsidRDefault="003E380D" w:rsidP="003E380D">
          <w:pPr>
            <w:pStyle w:val="Header"/>
          </w:pPr>
          <w:r>
            <w:rPr>
              <w:rFonts w:ascii="Broadway" w:hAnsi="Broadway"/>
              <w:color w:val="FF0000"/>
              <w:sz w:val="28"/>
              <w:szCs w:val="28"/>
            </w:rPr>
            <w:t xml:space="preserve">                                                                                                                                    </w:t>
          </w:r>
          <w:r w:rsidRPr="003E380D">
            <w:rPr>
              <w:rFonts w:ascii="Broadway" w:hAnsi="Broadway"/>
              <w:noProof/>
              <w:color w:val="FF0000"/>
              <w:sz w:val="28"/>
              <w:szCs w:val="28"/>
              <w:lang w:eastAsia="en-GB"/>
            </w:rPr>
            <w:drawing>
              <wp:anchor distT="0" distB="0" distL="114300" distR="114300" simplePos="0" relativeHeight="251660288" behindDoc="1" locked="0" layoutInCell="1" allowOverlap="1">
                <wp:simplePos x="0" y="0"/>
                <wp:positionH relativeFrom="column">
                  <wp:posOffset>-5300980</wp:posOffset>
                </wp:positionH>
                <wp:positionV relativeFrom="paragraph">
                  <wp:posOffset>-200025</wp:posOffset>
                </wp:positionV>
                <wp:extent cx="737870" cy="819150"/>
                <wp:effectExtent l="19050" t="0" r="5080" b="0"/>
                <wp:wrapTight wrapText="bothSides">
                  <wp:wrapPolygon edited="0">
                    <wp:start x="5019" y="0"/>
                    <wp:lineTo x="2788" y="2009"/>
                    <wp:lineTo x="558" y="6530"/>
                    <wp:lineTo x="558" y="11051"/>
                    <wp:lineTo x="3346" y="16074"/>
                    <wp:lineTo x="-558" y="19591"/>
                    <wp:lineTo x="-558" y="21098"/>
                    <wp:lineTo x="21749" y="21098"/>
                    <wp:lineTo x="21749" y="19088"/>
                    <wp:lineTo x="18403" y="16074"/>
                    <wp:lineTo x="16172" y="16074"/>
                    <wp:lineTo x="18960" y="8540"/>
                    <wp:lineTo x="19518" y="7033"/>
                    <wp:lineTo x="15057" y="1005"/>
                    <wp:lineTo x="12826" y="0"/>
                    <wp:lineTo x="5019" y="0"/>
                  </wp:wrapPolygon>
                </wp:wrapTight>
                <wp:docPr id="4" name="Picture 1" descr="C:\Users\gillm\AppData\Local\Microsoft\Windows\INetCache\IE\SKT4ZZDZ\boy-2028005_960_72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illm\AppData\Local\Microsoft\Windows\INetCache\IE\SKT4ZZDZ\boy-2028005_960_720[1].png"/>
                        <pic:cNvPicPr>
                          <a:picLocks noChangeAspect="1" noChangeArrowheads="1"/>
                        </pic:cNvPicPr>
                      </pic:nvPicPr>
                      <pic:blipFill>
                        <a:blip r:embed="rId1"/>
                        <a:srcRect/>
                        <a:stretch>
                          <a:fillRect/>
                        </a:stretch>
                      </pic:blipFill>
                      <pic:spPr bwMode="auto">
                        <a:xfrm>
                          <a:off x="0" y="0"/>
                          <a:ext cx="737870" cy="819150"/>
                        </a:xfrm>
                        <a:prstGeom prst="rect">
                          <a:avLst/>
                        </a:prstGeom>
                        <a:noFill/>
                        <a:ln w="9525">
                          <a:noFill/>
                          <a:miter lim="800000"/>
                          <a:headEnd/>
                          <a:tailEnd/>
                        </a:ln>
                      </pic:spPr>
                    </pic:pic>
                  </a:graphicData>
                </a:graphic>
              </wp:anchor>
            </w:drawing>
          </w:r>
          <w:r>
            <w:rPr>
              <w:rFonts w:ascii="Broadway" w:hAnsi="Broadway"/>
              <w:color w:val="FF0000"/>
              <w:sz w:val="28"/>
              <w:szCs w:val="28"/>
            </w:rPr>
            <w:t xml:space="preserve">               </w:t>
          </w:r>
        </w:p>
        <w:p w:rsidR="003E380D" w:rsidRDefault="003E380D" w:rsidP="006C481A">
          <w:pPr>
            <w:pStyle w:val="Header"/>
            <w:rPr>
              <w:rFonts w:ascii="Broadway" w:hAnsi="Broadway"/>
              <w:color w:val="FF0000"/>
              <w:sz w:val="28"/>
              <w:szCs w:val="28"/>
            </w:rPr>
          </w:pPr>
          <w:r>
            <w:rPr>
              <w:rFonts w:ascii="Broadway" w:hAnsi="Broadway"/>
              <w:color w:val="FF0000"/>
              <w:sz w:val="28"/>
              <w:szCs w:val="28"/>
            </w:rPr>
            <w:t xml:space="preserve">   Safety Guidelines for Entrants</w:t>
          </w:r>
        </w:p>
      </w:tc>
    </w:tr>
  </w:tbl>
  <w:p w:rsidR="006C481A" w:rsidRDefault="006C481A" w:rsidP="003E380D">
    <w:pPr>
      <w:pStyle w:val="Header"/>
    </w:pPr>
    <w:r w:rsidRPr="006C481A">
      <w:rPr>
        <w:rFonts w:ascii="Broadway" w:hAnsi="Broadway"/>
        <w:color w:val="FF0000"/>
        <w:sz w:val="28"/>
        <w:szCs w:val="28"/>
      </w:rPr>
      <w:t xml:space="preserve"> </w:t>
    </w:r>
    <w:r w:rsidR="00FA21D1">
      <w:rPr>
        <w:rFonts w:ascii="Broadway" w:hAnsi="Broadway"/>
        <w:color w:val="FF0000"/>
        <w:sz w:val="28"/>
        <w:szCs w:val="28"/>
      </w:rPr>
      <w:t xml:space="preserve">                                                                                                                                   </w:t>
    </w:r>
  </w:p>
  <w:p w:rsidR="006C481A" w:rsidRDefault="006C481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4306D1"/>
    <w:multiLevelType w:val="hybridMultilevel"/>
    <w:tmpl w:val="50541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50173745"/>
    <w:multiLevelType w:val="hybridMultilevel"/>
    <w:tmpl w:val="12CC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65680D1B"/>
    <w:multiLevelType w:val="hybridMultilevel"/>
    <w:tmpl w:val="0ADCDA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7C483CCF"/>
    <w:multiLevelType w:val="hybridMultilevel"/>
    <w:tmpl w:val="345CF7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rsids>
    <w:rsidRoot w:val="006C481A"/>
    <w:rsid w:val="002B7BA8"/>
    <w:rsid w:val="003E380D"/>
    <w:rsid w:val="006C481A"/>
    <w:rsid w:val="007138B0"/>
    <w:rsid w:val="00876805"/>
    <w:rsid w:val="009D4F0D"/>
    <w:rsid w:val="00CC15D0"/>
    <w:rsid w:val="00F71900"/>
    <w:rsid w:val="00FA21D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4"/>
        <w:szCs w:val="24"/>
        <w:lang w:val="en-GB" w:eastAsia="en-US" w:bidi="ar-SA"/>
      </w:rPr>
    </w:rPrDefault>
    <w:pPrDefault>
      <w:pPr>
        <w:spacing w:after="160" w:line="278"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481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C48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481A"/>
  </w:style>
  <w:style w:type="paragraph" w:styleId="Footer">
    <w:name w:val="footer"/>
    <w:basedOn w:val="Normal"/>
    <w:link w:val="FooterChar"/>
    <w:uiPriority w:val="99"/>
    <w:semiHidden/>
    <w:unhideWhenUsed/>
    <w:rsid w:val="006C481A"/>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C481A"/>
  </w:style>
  <w:style w:type="paragraph" w:styleId="BalloonText">
    <w:name w:val="Balloon Text"/>
    <w:basedOn w:val="Normal"/>
    <w:link w:val="BalloonTextChar"/>
    <w:uiPriority w:val="99"/>
    <w:semiHidden/>
    <w:unhideWhenUsed/>
    <w:rsid w:val="006C481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C481A"/>
    <w:rPr>
      <w:rFonts w:ascii="Tahoma" w:hAnsi="Tahoma" w:cs="Tahoma"/>
      <w:sz w:val="16"/>
      <w:szCs w:val="16"/>
    </w:rPr>
  </w:style>
  <w:style w:type="paragraph" w:styleId="ListParagraph">
    <w:name w:val="List Paragraph"/>
    <w:basedOn w:val="Normal"/>
    <w:uiPriority w:val="34"/>
    <w:qFormat/>
    <w:rsid w:val="006C481A"/>
    <w:pPr>
      <w:ind w:left="720"/>
      <w:contextualSpacing/>
    </w:pPr>
  </w:style>
  <w:style w:type="table" w:styleId="TableGrid">
    <w:name w:val="Table Grid"/>
    <w:basedOn w:val="TableNormal"/>
    <w:uiPriority w:val="39"/>
    <w:rsid w:val="003E380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2781</Characters>
  <Application>Microsoft Office Word</Application>
  <DocSecurity>0</DocSecurity>
  <Lines>154</Lines>
  <Paragraphs>62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 Meredith</dc:creator>
  <cp:lastModifiedBy>Gill Meredith</cp:lastModifiedBy>
  <cp:revision>2</cp:revision>
  <cp:lastPrinted>2024-05-07T12:52:00Z</cp:lastPrinted>
  <dcterms:created xsi:type="dcterms:W3CDTF">2025-02-25T11:50:00Z</dcterms:created>
  <dcterms:modified xsi:type="dcterms:W3CDTF">2025-02-25T11:50:00Z</dcterms:modified>
</cp:coreProperties>
</file>